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141F" w14:textId="277011B5" w:rsidR="00FC3A12" w:rsidRDefault="00FC3A12" w:rsidP="008A07DE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FC3A12">
        <w:rPr>
          <w:rFonts w:ascii="Arial" w:hAnsi="Arial" w:cs="Arial"/>
          <w:b/>
          <w:bCs/>
          <w:sz w:val="40"/>
          <w:szCs w:val="40"/>
        </w:rPr>
        <w:t>Research Support Fund-Performance Objectives for 202</w:t>
      </w:r>
      <w:r>
        <w:rPr>
          <w:rFonts w:ascii="Arial" w:hAnsi="Arial" w:cs="Arial"/>
          <w:b/>
          <w:bCs/>
          <w:sz w:val="40"/>
          <w:szCs w:val="40"/>
        </w:rPr>
        <w:t>5</w:t>
      </w:r>
      <w:r w:rsidRPr="00FC3A12">
        <w:rPr>
          <w:rFonts w:ascii="Arial" w:hAnsi="Arial" w:cs="Arial"/>
          <w:b/>
          <w:bCs/>
          <w:sz w:val="40"/>
          <w:szCs w:val="40"/>
        </w:rPr>
        <w:t>-2</w:t>
      </w:r>
      <w:r>
        <w:rPr>
          <w:rFonts w:ascii="Arial" w:hAnsi="Arial" w:cs="Arial"/>
          <w:b/>
          <w:bCs/>
          <w:sz w:val="40"/>
          <w:szCs w:val="40"/>
        </w:rPr>
        <w:t>6</w:t>
      </w:r>
    </w:p>
    <w:tbl>
      <w:tblPr>
        <w:tblStyle w:val="TableGrid"/>
        <w:tblW w:w="12475" w:type="dxa"/>
        <w:tblInd w:w="-289" w:type="dxa"/>
        <w:tblLook w:val="04A0" w:firstRow="1" w:lastRow="0" w:firstColumn="1" w:lastColumn="0" w:noHBand="0" w:noVBand="1"/>
      </w:tblPr>
      <w:tblGrid>
        <w:gridCol w:w="1791"/>
        <w:gridCol w:w="3098"/>
        <w:gridCol w:w="3050"/>
        <w:gridCol w:w="2268"/>
        <w:gridCol w:w="2268"/>
      </w:tblGrid>
      <w:tr w:rsidR="00FC3A12" w14:paraId="077EC137" w14:textId="77777777" w:rsidTr="008A07DE">
        <w:tc>
          <w:tcPr>
            <w:tcW w:w="1791" w:type="dxa"/>
          </w:tcPr>
          <w:p w14:paraId="25754693" w14:textId="47D98BBC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3A12">
              <w:rPr>
                <w:rFonts w:ascii="Arial" w:hAnsi="Arial" w:cs="Arial"/>
                <w:b/>
                <w:bCs/>
              </w:rPr>
              <w:t>Eligible program expenditure category</w:t>
            </w:r>
          </w:p>
        </w:tc>
        <w:tc>
          <w:tcPr>
            <w:tcW w:w="3098" w:type="dxa"/>
          </w:tcPr>
          <w:p w14:paraId="1F2148BA" w14:textId="549ED96F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3A12">
              <w:rPr>
                <w:rFonts w:ascii="Arial" w:hAnsi="Arial" w:cs="Arial"/>
                <w:b/>
                <w:bCs/>
              </w:rPr>
              <w:t>Output (investment or expense of RSF grant funds)</w:t>
            </w:r>
          </w:p>
        </w:tc>
        <w:tc>
          <w:tcPr>
            <w:tcW w:w="3050" w:type="dxa"/>
          </w:tcPr>
          <w:p w14:paraId="5AEFBA72" w14:textId="50A018D2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3A12">
              <w:rPr>
                <w:rFonts w:ascii="Arial" w:hAnsi="Arial" w:cs="Arial"/>
                <w:b/>
                <w:bCs/>
              </w:rPr>
              <w:t>Performance objective</w:t>
            </w:r>
          </w:p>
        </w:tc>
        <w:tc>
          <w:tcPr>
            <w:tcW w:w="2268" w:type="dxa"/>
          </w:tcPr>
          <w:p w14:paraId="39D08E11" w14:textId="10188A12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3A12">
              <w:rPr>
                <w:rFonts w:ascii="Arial" w:hAnsi="Arial" w:cs="Arial"/>
                <w:b/>
                <w:bCs/>
              </w:rPr>
              <w:t>Performance indicator</w:t>
            </w:r>
          </w:p>
        </w:tc>
        <w:tc>
          <w:tcPr>
            <w:tcW w:w="2268" w:type="dxa"/>
          </w:tcPr>
          <w:p w14:paraId="10E6F62C" w14:textId="56514BE2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  <w:r w:rsidRPr="00FC3A12">
              <w:rPr>
                <w:rFonts w:ascii="Arial" w:hAnsi="Arial" w:cs="Arial"/>
                <w:b/>
                <w:bCs/>
              </w:rPr>
              <w:t>Target outcome</w:t>
            </w:r>
          </w:p>
        </w:tc>
      </w:tr>
      <w:tr w:rsidR="00FC3A12" w14:paraId="4BE165BB" w14:textId="77777777" w:rsidTr="008A07DE">
        <w:tc>
          <w:tcPr>
            <w:tcW w:w="1791" w:type="dxa"/>
          </w:tcPr>
          <w:p w14:paraId="24C71C8B" w14:textId="77777777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98" w:type="dxa"/>
          </w:tcPr>
          <w:p w14:paraId="059ED7DE" w14:textId="77777777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50" w:type="dxa"/>
          </w:tcPr>
          <w:p w14:paraId="39CC0B2F" w14:textId="77777777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63D5D201" w14:textId="77777777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1CE65897" w14:textId="77777777" w:rsidR="00FC3A12" w:rsidRDefault="00FC3A12" w:rsidP="008A07D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C3A12" w14:paraId="037C00E9" w14:textId="77777777" w:rsidTr="008A07DE">
        <w:trPr>
          <w:trHeight w:val="1877"/>
        </w:trPr>
        <w:tc>
          <w:tcPr>
            <w:tcW w:w="1791" w:type="dxa"/>
          </w:tcPr>
          <w:p w14:paraId="21089EB6" w14:textId="097563C1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Research Facilities</w:t>
            </w:r>
          </w:p>
        </w:tc>
        <w:tc>
          <w:tcPr>
            <w:tcW w:w="3098" w:type="dxa"/>
          </w:tcPr>
          <w:p w14:paraId="62BD758C" w14:textId="3D8EB001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Projected percentage of RSF grant invested in supporting the operation of research facilities: $51,722 (6%)</w:t>
            </w:r>
          </w:p>
        </w:tc>
        <w:tc>
          <w:tcPr>
            <w:tcW w:w="3050" w:type="dxa"/>
          </w:tcPr>
          <w:p w14:paraId="19535600" w14:textId="21F4AD61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Supporting operation and maintenance of research equipment by partially covering the compensation of technical staff</w:t>
            </w:r>
          </w:p>
        </w:tc>
        <w:tc>
          <w:tcPr>
            <w:tcW w:w="2268" w:type="dxa"/>
          </w:tcPr>
          <w:p w14:paraId="2D17052F" w14:textId="606B738D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Reports of research projects impacted because of equipment needing repair</w:t>
            </w:r>
          </w:p>
        </w:tc>
        <w:tc>
          <w:tcPr>
            <w:tcW w:w="2268" w:type="dxa"/>
          </w:tcPr>
          <w:p w14:paraId="4E68220A" w14:textId="448BB19A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Dependable research equipment for productive research activities</w:t>
            </w:r>
          </w:p>
          <w:p w14:paraId="672EA4FA" w14:textId="77777777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A12" w14:paraId="6611A6FA" w14:textId="77777777" w:rsidTr="008A07DE">
        <w:trPr>
          <w:trHeight w:val="1597"/>
        </w:trPr>
        <w:tc>
          <w:tcPr>
            <w:tcW w:w="1791" w:type="dxa"/>
          </w:tcPr>
          <w:p w14:paraId="473BA84F" w14:textId="1A3E8AAD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Research Resources</w:t>
            </w:r>
          </w:p>
        </w:tc>
        <w:tc>
          <w:tcPr>
            <w:tcW w:w="3098" w:type="dxa"/>
          </w:tcPr>
          <w:p w14:paraId="56B4CB58" w14:textId="785D2E98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Projected percentage of RSF grant invested in supporting the operation of research resources: $308,566 (33%)</w:t>
            </w:r>
          </w:p>
        </w:tc>
        <w:tc>
          <w:tcPr>
            <w:tcW w:w="3050" w:type="dxa"/>
          </w:tcPr>
          <w:p w14:paraId="6D70DBBC" w14:textId="1F30BB6C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Ensure maintenance of library services and access to the Canadian Research Knowledge Network (CRKN)</w:t>
            </w:r>
          </w:p>
          <w:p w14:paraId="70E9D757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76A29B" w14:textId="48EC62F2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Total number of views /downloads accessing digital content in the library</w:t>
            </w:r>
          </w:p>
          <w:p w14:paraId="55F725C8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714932" w14:textId="4F9C40EA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Maintain access to research librarian and CRKN digital content network in the library</w:t>
            </w:r>
          </w:p>
        </w:tc>
      </w:tr>
      <w:tr w:rsidR="00FC3A12" w14:paraId="0D7CA7E0" w14:textId="77777777" w:rsidTr="008A07DE">
        <w:tc>
          <w:tcPr>
            <w:tcW w:w="1791" w:type="dxa"/>
          </w:tcPr>
          <w:p w14:paraId="4E3FBE47" w14:textId="4DCE69B2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Management and Administration of Research Enterprise</w:t>
            </w:r>
          </w:p>
        </w:tc>
        <w:tc>
          <w:tcPr>
            <w:tcW w:w="3098" w:type="dxa"/>
          </w:tcPr>
          <w:p w14:paraId="22585051" w14:textId="4DED5221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Projected percentage of RSF grant invested in management and administration of research enterprise: $450,870 (48%)</w:t>
            </w:r>
          </w:p>
          <w:p w14:paraId="7E73947D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</w:tcPr>
          <w:p w14:paraId="3314726D" w14:textId="0993C498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Continue providing competent research facilitation and management support (proposal writing, pre- and post-grant management, research services support, finance support) to faculty and students applying to and holding external awards</w:t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  <w:t>Maintenance of electronic grants management system (Romeo)</w:t>
            </w:r>
          </w:p>
        </w:tc>
        <w:tc>
          <w:tcPr>
            <w:tcW w:w="2268" w:type="dxa"/>
          </w:tcPr>
          <w:p w14:paraId="3276928B" w14:textId="034AA903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Number of external grant applications submitted and processed for setting financial accounts</w:t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  <w:t>Number of active accounts</w:t>
            </w:r>
          </w:p>
        </w:tc>
        <w:tc>
          <w:tcPr>
            <w:tcW w:w="2268" w:type="dxa"/>
          </w:tcPr>
          <w:p w14:paraId="09E0BB43" w14:textId="4893453F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Effectively support the operations of research administration and management leading to the growth of research</w:t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  <w:t>Effective management of grants and awards</w:t>
            </w:r>
          </w:p>
        </w:tc>
      </w:tr>
      <w:tr w:rsidR="00FC3A12" w14:paraId="21162AE6" w14:textId="77777777" w:rsidTr="008A07DE">
        <w:tc>
          <w:tcPr>
            <w:tcW w:w="1791" w:type="dxa"/>
          </w:tcPr>
          <w:p w14:paraId="0240E823" w14:textId="05EC57C5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lastRenderedPageBreak/>
              <w:t>Regulatory Requirements and Accreditation</w:t>
            </w:r>
          </w:p>
        </w:tc>
        <w:tc>
          <w:tcPr>
            <w:tcW w:w="3098" w:type="dxa"/>
          </w:tcPr>
          <w:p w14:paraId="0F163D31" w14:textId="58A1B0C0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Projected percentage of RSF grant invested in supporting regulatory requirements and accreditation: $84,838 (9%)</w:t>
            </w:r>
          </w:p>
        </w:tc>
        <w:tc>
          <w:tcPr>
            <w:tcW w:w="3050" w:type="dxa"/>
          </w:tcPr>
          <w:p w14:paraId="01A402FA" w14:textId="08D3F696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Maintain compliance with regulatory requirements</w:t>
            </w:r>
          </w:p>
          <w:p w14:paraId="6336364D" w14:textId="77777777" w:rsidR="008A07DE" w:rsidRPr="008A07DE" w:rsidRDefault="008A07DE" w:rsidP="008A07DE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CE0CFA" w14:textId="2B570D7A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Maintaining good standing with Canadian Council on Animal Care (CCAC) guidelines</w:t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</w:r>
            <w:r w:rsidRPr="008A07DE">
              <w:rPr>
                <w:rFonts w:ascii="Arial" w:hAnsi="Arial" w:cs="Arial"/>
                <w:sz w:val="22"/>
                <w:szCs w:val="22"/>
              </w:rPr>
              <w:br/>
              <w:t>Number of active Animal Use Protocols and Human Ethics projects</w:t>
            </w:r>
          </w:p>
        </w:tc>
        <w:tc>
          <w:tcPr>
            <w:tcW w:w="2268" w:type="dxa"/>
          </w:tcPr>
          <w:p w14:paraId="10B6A1BF" w14:textId="77C95DD0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100% compliance with Tri-Council Policy Statement (TCPS2) and CCAC</w:t>
            </w:r>
          </w:p>
          <w:p w14:paraId="2F19BD66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8D4A6F7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A12" w14:paraId="65474BAD" w14:textId="77777777" w:rsidTr="008A07DE">
        <w:tc>
          <w:tcPr>
            <w:tcW w:w="1791" w:type="dxa"/>
          </w:tcPr>
          <w:p w14:paraId="2640BA00" w14:textId="23059200" w:rsidR="00FC3A12" w:rsidRPr="00FC3A12" w:rsidRDefault="00FC3A12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C3A12">
              <w:rPr>
                <w:rFonts w:ascii="Arial" w:hAnsi="Arial" w:cs="Arial"/>
                <w:sz w:val="22"/>
                <w:szCs w:val="22"/>
              </w:rPr>
              <w:t>Intellectual Property (IP)</w:t>
            </w:r>
          </w:p>
        </w:tc>
        <w:tc>
          <w:tcPr>
            <w:tcW w:w="3098" w:type="dxa"/>
          </w:tcPr>
          <w:p w14:paraId="1C2C5E5B" w14:textId="5FC31E91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Projected percentage of RSF grant invested in supporting IP development and management: $39,506 (4%)</w:t>
            </w:r>
          </w:p>
        </w:tc>
        <w:tc>
          <w:tcPr>
            <w:tcW w:w="3050" w:type="dxa"/>
          </w:tcPr>
          <w:p w14:paraId="6D2C800E" w14:textId="09686867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Continued support for faculty, students and community for collaboration, innovation, and entrepreneurship</w:t>
            </w:r>
          </w:p>
        </w:tc>
        <w:tc>
          <w:tcPr>
            <w:tcW w:w="2268" w:type="dxa"/>
          </w:tcPr>
          <w:p w14:paraId="544E3B62" w14:textId="2302EB51" w:rsidR="00FC3A12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07DE">
              <w:rPr>
                <w:rFonts w:ascii="Arial" w:hAnsi="Arial" w:cs="Arial"/>
                <w:sz w:val="22"/>
                <w:szCs w:val="22"/>
              </w:rPr>
              <w:t>Improved services for the administration of agreements and partnerships with external stakeholders</w:t>
            </w:r>
          </w:p>
          <w:p w14:paraId="5F397F5D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323F0F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8A07DE">
              <w:rPr>
                <w:rFonts w:ascii="Arial" w:hAnsi="Arial" w:cs="Arial"/>
                <w:color w:val="222222"/>
                <w:sz w:val="22"/>
                <w:szCs w:val="22"/>
              </w:rPr>
              <w:t>To maintain / increase the research collaborations and partnerships with external stakeholders</w:t>
            </w:r>
          </w:p>
          <w:p w14:paraId="5789F592" w14:textId="77777777" w:rsidR="00FC3A12" w:rsidRPr="008A07DE" w:rsidRDefault="00FC3A12" w:rsidP="008A07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D7EA60" w14:textId="77777777" w:rsidR="008A07DE" w:rsidRPr="008A07DE" w:rsidRDefault="008A07DE" w:rsidP="008A07D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8E84E5" w14:textId="77777777" w:rsidR="00FC3A12" w:rsidRPr="00FC3A12" w:rsidRDefault="00FC3A12" w:rsidP="008A07DE">
      <w:pPr>
        <w:jc w:val="center"/>
        <w:rPr>
          <w:rFonts w:ascii="Arial" w:hAnsi="Arial" w:cs="Arial"/>
          <w:b/>
          <w:bCs/>
        </w:rPr>
      </w:pPr>
    </w:p>
    <w:p w14:paraId="22ADDD2D" w14:textId="77777777" w:rsidR="0082626A" w:rsidRDefault="0082626A" w:rsidP="008A07DE">
      <w:pPr>
        <w:jc w:val="center"/>
      </w:pPr>
    </w:p>
    <w:sectPr w:rsidR="0082626A" w:rsidSect="008A07D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12"/>
    <w:rsid w:val="0082626A"/>
    <w:rsid w:val="008A07DE"/>
    <w:rsid w:val="00C156A1"/>
    <w:rsid w:val="00E3588C"/>
    <w:rsid w:val="00F90A42"/>
    <w:rsid w:val="00FC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DDB3"/>
  <w15:chartTrackingRefBased/>
  <w15:docId w15:val="{34294851-F377-4E30-9EE2-33675631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A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3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Adebayo</dc:creator>
  <cp:keywords/>
  <dc:description/>
  <cp:lastModifiedBy>Juliet Adebayo</cp:lastModifiedBy>
  <cp:revision>1</cp:revision>
  <dcterms:created xsi:type="dcterms:W3CDTF">2026-06-05T17:36:00Z</dcterms:created>
  <dcterms:modified xsi:type="dcterms:W3CDTF">2026-06-05T17:52:00Z</dcterms:modified>
</cp:coreProperties>
</file>